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7975" w:rsidRDefault="00177975" w:rsidP="00177975">
      <w:r>
        <w:tab/>
      </w:r>
      <w:r>
        <w:tab/>
      </w:r>
      <w:r>
        <w:tab/>
      </w:r>
      <w:r>
        <w:tab/>
      </w:r>
      <w:r>
        <w:tab/>
      </w:r>
    </w:p>
    <w:p w:rsidR="00177975" w:rsidRDefault="00177975" w:rsidP="00177975">
      <w:pPr>
        <w:jc w:val="center"/>
        <w:rPr>
          <w:b/>
          <w:sz w:val="36"/>
          <w:szCs w:val="36"/>
        </w:rPr>
      </w:pPr>
      <w:r w:rsidRPr="00AA50FC">
        <w:rPr>
          <w:b/>
          <w:sz w:val="36"/>
          <w:szCs w:val="36"/>
        </w:rPr>
        <w:t>P.U.C. Docket No. 45720</w:t>
      </w:r>
    </w:p>
    <w:p w:rsidR="00177975" w:rsidRDefault="00177975" w:rsidP="00177975">
      <w:pPr>
        <w:jc w:val="center"/>
        <w:rPr>
          <w:b/>
          <w:sz w:val="36"/>
          <w:szCs w:val="36"/>
        </w:rPr>
      </w:pPr>
      <w:r>
        <w:rPr>
          <w:b/>
          <w:sz w:val="36"/>
          <w:szCs w:val="36"/>
        </w:rPr>
        <w:t>SOAH DOCKET No. 473-16-3831.WS</w:t>
      </w:r>
    </w:p>
    <w:p w:rsidR="00177975" w:rsidRPr="008E3AEC" w:rsidRDefault="00177975" w:rsidP="00177975">
      <w:pPr>
        <w:jc w:val="center"/>
        <w:rPr>
          <w:b/>
          <w:sz w:val="24"/>
          <w:szCs w:val="24"/>
        </w:rPr>
      </w:pPr>
    </w:p>
    <w:p w:rsidR="00177975" w:rsidRPr="008E3AEC" w:rsidRDefault="00177975" w:rsidP="00177975">
      <w:pPr>
        <w:pStyle w:val="NoSpacing"/>
        <w:rPr>
          <w:b/>
          <w:sz w:val="24"/>
          <w:szCs w:val="24"/>
        </w:rPr>
      </w:pPr>
      <w:r w:rsidRPr="008E3AEC">
        <w:rPr>
          <w:b/>
          <w:sz w:val="24"/>
          <w:szCs w:val="24"/>
        </w:rPr>
        <w:t>APPLICATION OF RIO CONCHO</w:t>
      </w:r>
      <w:r w:rsidRPr="008E3AEC">
        <w:rPr>
          <w:b/>
          <w:sz w:val="24"/>
          <w:szCs w:val="24"/>
        </w:rPr>
        <w:tab/>
      </w:r>
      <w:r w:rsidRPr="008E3AEC">
        <w:rPr>
          <w:b/>
          <w:sz w:val="24"/>
          <w:szCs w:val="24"/>
        </w:rPr>
        <w:tab/>
      </w:r>
      <w:r>
        <w:rPr>
          <w:b/>
          <w:sz w:val="24"/>
          <w:szCs w:val="24"/>
        </w:rPr>
        <w:t xml:space="preserve">       |</w:t>
      </w:r>
      <w:r w:rsidRPr="008E3AEC">
        <w:rPr>
          <w:b/>
          <w:sz w:val="24"/>
          <w:szCs w:val="24"/>
        </w:rPr>
        <w:tab/>
      </w:r>
      <w:r>
        <w:rPr>
          <w:b/>
          <w:sz w:val="24"/>
          <w:szCs w:val="24"/>
        </w:rPr>
        <w:tab/>
      </w:r>
      <w:r>
        <w:rPr>
          <w:b/>
          <w:sz w:val="24"/>
          <w:szCs w:val="24"/>
        </w:rPr>
        <w:tab/>
        <w:t xml:space="preserve">BEFORE THE </w:t>
      </w:r>
      <w:r w:rsidR="00791601">
        <w:rPr>
          <w:b/>
          <w:sz w:val="24"/>
          <w:szCs w:val="24"/>
        </w:rPr>
        <w:t>PUBLIC</w:t>
      </w:r>
    </w:p>
    <w:p w:rsidR="00177975" w:rsidRPr="008E3AEC" w:rsidRDefault="00177975" w:rsidP="00177975">
      <w:pPr>
        <w:pStyle w:val="NoSpacing"/>
        <w:rPr>
          <w:b/>
          <w:sz w:val="24"/>
          <w:szCs w:val="24"/>
        </w:rPr>
      </w:pPr>
      <w:r w:rsidRPr="008E3AEC">
        <w:rPr>
          <w:b/>
          <w:sz w:val="24"/>
          <w:szCs w:val="24"/>
        </w:rPr>
        <w:t xml:space="preserve">AVIATION, INC FOR A </w:t>
      </w:r>
      <w:r w:rsidRPr="008E3AEC">
        <w:rPr>
          <w:b/>
          <w:sz w:val="24"/>
          <w:szCs w:val="24"/>
        </w:rPr>
        <w:tab/>
      </w:r>
      <w:r w:rsidRPr="008E3AEC">
        <w:rPr>
          <w:b/>
          <w:sz w:val="24"/>
          <w:szCs w:val="24"/>
        </w:rPr>
        <w:tab/>
      </w:r>
      <w:r w:rsidRPr="008E3AEC">
        <w:rPr>
          <w:b/>
          <w:sz w:val="24"/>
          <w:szCs w:val="24"/>
        </w:rPr>
        <w:tab/>
      </w:r>
      <w:r>
        <w:rPr>
          <w:b/>
          <w:sz w:val="24"/>
          <w:szCs w:val="24"/>
        </w:rPr>
        <w:t xml:space="preserve">       |</w:t>
      </w:r>
      <w:r w:rsidRPr="008E3AEC">
        <w:rPr>
          <w:b/>
          <w:sz w:val="24"/>
          <w:szCs w:val="24"/>
        </w:rPr>
        <w:tab/>
      </w:r>
      <w:r w:rsidRPr="008E3AEC">
        <w:rPr>
          <w:b/>
          <w:sz w:val="24"/>
          <w:szCs w:val="24"/>
        </w:rPr>
        <w:tab/>
      </w:r>
      <w:r w:rsidR="00791601">
        <w:rPr>
          <w:b/>
          <w:sz w:val="24"/>
          <w:szCs w:val="24"/>
        </w:rPr>
        <w:tab/>
        <w:t xml:space="preserve">UTILITY COMMISSION </w:t>
      </w:r>
    </w:p>
    <w:p w:rsidR="00177975" w:rsidRPr="008E3AEC" w:rsidRDefault="00177975" w:rsidP="00177975">
      <w:pPr>
        <w:pStyle w:val="NoSpacing"/>
        <w:rPr>
          <w:b/>
          <w:sz w:val="24"/>
          <w:szCs w:val="24"/>
        </w:rPr>
      </w:pPr>
      <w:r>
        <w:rPr>
          <w:b/>
          <w:sz w:val="24"/>
          <w:szCs w:val="24"/>
        </w:rPr>
        <w:t>RATE/TARIFF CHANGE</w:t>
      </w:r>
      <w:r>
        <w:rPr>
          <w:b/>
          <w:sz w:val="24"/>
          <w:szCs w:val="24"/>
        </w:rPr>
        <w:tab/>
      </w:r>
      <w:r>
        <w:rPr>
          <w:b/>
          <w:sz w:val="24"/>
          <w:szCs w:val="24"/>
        </w:rPr>
        <w:tab/>
      </w:r>
      <w:r w:rsidRPr="008E3AEC">
        <w:rPr>
          <w:b/>
          <w:sz w:val="24"/>
          <w:szCs w:val="24"/>
        </w:rPr>
        <w:tab/>
      </w:r>
      <w:r>
        <w:rPr>
          <w:b/>
          <w:sz w:val="24"/>
          <w:szCs w:val="24"/>
        </w:rPr>
        <w:t xml:space="preserve">       |</w:t>
      </w:r>
      <w:r w:rsidRPr="008E3AEC">
        <w:rPr>
          <w:b/>
          <w:sz w:val="24"/>
          <w:szCs w:val="24"/>
        </w:rPr>
        <w:tab/>
      </w:r>
      <w:r>
        <w:rPr>
          <w:b/>
          <w:sz w:val="24"/>
          <w:szCs w:val="24"/>
        </w:rPr>
        <w:tab/>
      </w:r>
      <w:r>
        <w:rPr>
          <w:b/>
          <w:sz w:val="24"/>
          <w:szCs w:val="24"/>
        </w:rPr>
        <w:tab/>
      </w:r>
      <w:r w:rsidR="00791601">
        <w:rPr>
          <w:b/>
          <w:sz w:val="24"/>
          <w:szCs w:val="24"/>
        </w:rPr>
        <w:t xml:space="preserve">OF TEXAS </w:t>
      </w:r>
    </w:p>
    <w:p w:rsidR="00177975" w:rsidRDefault="00177975" w:rsidP="00177975">
      <w:r>
        <w:tab/>
      </w:r>
      <w:r>
        <w:tab/>
      </w:r>
      <w:r>
        <w:tab/>
      </w:r>
      <w:r>
        <w:tab/>
        <w:t xml:space="preserve"> </w:t>
      </w:r>
    </w:p>
    <w:p w:rsidR="00177975" w:rsidRDefault="00177975" w:rsidP="00177975"/>
    <w:p w:rsidR="00177975" w:rsidRPr="0056448B" w:rsidRDefault="00177975" w:rsidP="00177975">
      <w:pPr>
        <w:pStyle w:val="NoSpacing"/>
        <w:jc w:val="center"/>
        <w:rPr>
          <w:b/>
          <w:sz w:val="28"/>
          <w:szCs w:val="28"/>
        </w:rPr>
      </w:pPr>
      <w:r>
        <w:rPr>
          <w:b/>
          <w:sz w:val="28"/>
          <w:szCs w:val="28"/>
        </w:rPr>
        <w:t>RATEPAYERS RESPONSE TO RIO CONCHO</w:t>
      </w:r>
      <w:r w:rsidR="00085CC7">
        <w:rPr>
          <w:b/>
          <w:sz w:val="28"/>
          <w:szCs w:val="28"/>
        </w:rPr>
        <w:t>’S</w:t>
      </w:r>
      <w:r>
        <w:rPr>
          <w:b/>
          <w:sz w:val="28"/>
          <w:szCs w:val="28"/>
        </w:rPr>
        <w:t xml:space="preserve"> MOTION </w:t>
      </w:r>
      <w:r w:rsidR="00085CC7">
        <w:rPr>
          <w:b/>
          <w:sz w:val="28"/>
          <w:szCs w:val="28"/>
        </w:rPr>
        <w:t>FOR REHEARING</w:t>
      </w:r>
    </w:p>
    <w:p w:rsidR="00177975" w:rsidRPr="0056448B" w:rsidRDefault="00177975" w:rsidP="00177975">
      <w:pPr>
        <w:pStyle w:val="NoSpacing"/>
        <w:jc w:val="center"/>
        <w:rPr>
          <w:b/>
          <w:sz w:val="28"/>
          <w:szCs w:val="28"/>
        </w:rPr>
      </w:pPr>
      <w:r>
        <w:rPr>
          <w:b/>
          <w:sz w:val="28"/>
          <w:szCs w:val="28"/>
        </w:rPr>
        <w:t>SUBMITTED BY</w:t>
      </w:r>
    </w:p>
    <w:p w:rsidR="00177975" w:rsidRPr="0056448B" w:rsidRDefault="00177975" w:rsidP="00177975">
      <w:pPr>
        <w:pStyle w:val="NoSpacing"/>
        <w:jc w:val="center"/>
        <w:rPr>
          <w:b/>
          <w:sz w:val="28"/>
          <w:szCs w:val="28"/>
        </w:rPr>
      </w:pPr>
      <w:r>
        <w:rPr>
          <w:b/>
          <w:sz w:val="28"/>
          <w:szCs w:val="28"/>
        </w:rPr>
        <w:t>STEVE GRACE &amp; JEFF SHEETS</w:t>
      </w:r>
    </w:p>
    <w:p w:rsidR="00177975" w:rsidRDefault="00177975" w:rsidP="00177975">
      <w:pPr>
        <w:jc w:val="center"/>
        <w:rPr>
          <w:b/>
          <w:sz w:val="28"/>
          <w:szCs w:val="28"/>
        </w:rPr>
      </w:pPr>
    </w:p>
    <w:p w:rsidR="00177975" w:rsidRPr="0056448B" w:rsidRDefault="00177975" w:rsidP="00177975">
      <w:pPr>
        <w:pStyle w:val="NoSpacing"/>
        <w:jc w:val="center"/>
        <w:rPr>
          <w:b/>
          <w:sz w:val="28"/>
          <w:szCs w:val="28"/>
        </w:rPr>
      </w:pPr>
      <w:r w:rsidRPr="0056448B">
        <w:rPr>
          <w:b/>
          <w:sz w:val="28"/>
          <w:szCs w:val="28"/>
        </w:rPr>
        <w:t xml:space="preserve">ON BEHALF OF </w:t>
      </w:r>
      <w:r>
        <w:rPr>
          <w:b/>
          <w:sz w:val="28"/>
          <w:szCs w:val="28"/>
        </w:rPr>
        <w:t xml:space="preserve">RATEPAYERS </w:t>
      </w:r>
      <w:r w:rsidRPr="0056448B">
        <w:rPr>
          <w:b/>
          <w:sz w:val="28"/>
          <w:szCs w:val="28"/>
        </w:rPr>
        <w:t>OF</w:t>
      </w:r>
    </w:p>
    <w:p w:rsidR="00177975" w:rsidRPr="0056448B" w:rsidRDefault="00177975" w:rsidP="00177975">
      <w:pPr>
        <w:pStyle w:val="NoSpacing"/>
        <w:jc w:val="center"/>
        <w:rPr>
          <w:b/>
          <w:sz w:val="28"/>
          <w:szCs w:val="28"/>
        </w:rPr>
      </w:pPr>
      <w:r w:rsidRPr="0056448B">
        <w:rPr>
          <w:b/>
          <w:sz w:val="28"/>
          <w:szCs w:val="28"/>
        </w:rPr>
        <w:t>RIO CONCHO AVIATION, INC</w:t>
      </w:r>
    </w:p>
    <w:p w:rsidR="00177975" w:rsidRDefault="00177975" w:rsidP="00177975">
      <w:pPr>
        <w:rPr>
          <w:b/>
          <w:sz w:val="28"/>
          <w:szCs w:val="28"/>
        </w:rPr>
      </w:pPr>
    </w:p>
    <w:p w:rsidR="00177975" w:rsidRDefault="00177975"/>
    <w:p w:rsidR="00177975" w:rsidRDefault="00177975" w:rsidP="00177975">
      <w:pPr>
        <w:jc w:val="center"/>
        <w:rPr>
          <w:b/>
          <w:sz w:val="28"/>
          <w:szCs w:val="28"/>
        </w:rPr>
      </w:pPr>
      <w:r w:rsidRPr="00177975">
        <w:rPr>
          <w:b/>
          <w:sz w:val="28"/>
          <w:szCs w:val="28"/>
        </w:rPr>
        <w:t>BACKGROUND</w:t>
      </w:r>
    </w:p>
    <w:p w:rsidR="00085CC7" w:rsidRDefault="00177975" w:rsidP="0027794D">
      <w:pPr>
        <w:ind w:firstLine="720"/>
      </w:pPr>
      <w:r>
        <w:t xml:space="preserve">On </w:t>
      </w:r>
      <w:r w:rsidR="00085CC7">
        <w:t xml:space="preserve">June 16, </w:t>
      </w:r>
      <w:r>
        <w:t xml:space="preserve">2017, Rio Concho Aviation, Inc (RCA) filed a motion </w:t>
      </w:r>
      <w:r w:rsidR="00085CC7">
        <w:t xml:space="preserve">for a Rehearing in order to address a missing expense dealing with the Northern Trinity Groundwater Conservation District (NTGCD) pass through fee.   This has the effect of changing the rate structure computed by the PUC staff and implemented by the Commission.   </w:t>
      </w:r>
    </w:p>
    <w:p w:rsidR="00085CC7" w:rsidRDefault="00085CC7" w:rsidP="00085CC7">
      <w:pPr>
        <w:rPr>
          <w:b/>
          <w:sz w:val="28"/>
          <w:szCs w:val="28"/>
        </w:rPr>
      </w:pPr>
    </w:p>
    <w:p w:rsidR="005C3C08" w:rsidRDefault="005C3C08" w:rsidP="00085CC7">
      <w:pPr>
        <w:jc w:val="center"/>
        <w:rPr>
          <w:b/>
          <w:sz w:val="28"/>
          <w:szCs w:val="28"/>
        </w:rPr>
      </w:pPr>
      <w:r w:rsidRPr="005C3C08">
        <w:rPr>
          <w:b/>
          <w:sz w:val="28"/>
          <w:szCs w:val="28"/>
        </w:rPr>
        <w:t>RATEPAYERS RESPON</w:t>
      </w:r>
      <w:r w:rsidR="00790A89">
        <w:rPr>
          <w:b/>
          <w:sz w:val="28"/>
          <w:szCs w:val="28"/>
        </w:rPr>
        <w:t>S</w:t>
      </w:r>
      <w:r w:rsidR="00085CC7">
        <w:rPr>
          <w:b/>
          <w:sz w:val="28"/>
          <w:szCs w:val="28"/>
        </w:rPr>
        <w:t>E TO MOTION</w:t>
      </w:r>
    </w:p>
    <w:p w:rsidR="00DB65AC" w:rsidRDefault="0027794D" w:rsidP="0027794D">
      <w:r>
        <w:tab/>
        <w:t xml:space="preserve">The Ratepayers are somewhat confused as to why the NTGCD pass through fee has any effect on the rate structure. </w:t>
      </w:r>
      <w:r w:rsidR="00460BD6">
        <w:t xml:space="preserve">We define the rate structure as the base rate and gallonage charge as set by the Commission.  </w:t>
      </w:r>
      <w:r>
        <w:t xml:space="preserve">  If the fee to NTGCD is passed thru to Rio Concho’s water customers, then X dollars paid to NTGCD is </w:t>
      </w:r>
      <w:r w:rsidR="000971D5">
        <w:t xml:space="preserve">also </w:t>
      </w:r>
      <w:r>
        <w:t xml:space="preserve">paid as an additional fee monthly on the water customers bills completely separate from the base rate and gallonage charges </w:t>
      </w:r>
      <w:r w:rsidR="00460BD6">
        <w:t xml:space="preserve">to be </w:t>
      </w:r>
      <w:r>
        <w:t xml:space="preserve">implemented by Rio Concho.   We realize it’s a fee outside of the rate structure and have no objection to it being added to our water bill as it has in the past.  However, we see no reason to change the rate structure as set by the Commission in base and gallonage charges.   </w:t>
      </w:r>
    </w:p>
    <w:p w:rsidR="0027794D" w:rsidRDefault="0027794D" w:rsidP="0027794D">
      <w:r>
        <w:lastRenderedPageBreak/>
        <w:tab/>
        <w:t>The NTGCD fee is currently $0.125 per 1000 gallons.</w:t>
      </w:r>
      <w:r w:rsidR="00460BD6">
        <w:t xml:space="preserve"> The average Rio Concho water customer </w:t>
      </w:r>
      <w:r w:rsidR="000431E8">
        <w:t>has a NTGCD pass through fee of less than $0.25/month.</w:t>
      </w:r>
      <w:r>
        <w:t xml:space="preserve">  Due to the NTGCD formula, water lost is allowed to be included up to 15%.  Thus, for Rio Concho’s test year of 2015, they billed 4,662 (x 1000) gallons of water.   The pass thru fee paid by Rio Concho, according to the NTGCD formula, would amount to </w:t>
      </w:r>
      <w:r w:rsidR="00460BD6">
        <w:t xml:space="preserve">approximately $685 per year, an </w:t>
      </w:r>
      <w:r w:rsidR="000431E8">
        <w:t xml:space="preserve">equal </w:t>
      </w:r>
      <w:r w:rsidR="00460BD6">
        <w:t>amount that’s paid by the water customers as a pass through fee.  Other than handling the</w:t>
      </w:r>
      <w:r w:rsidR="000971D5">
        <w:t xml:space="preserve"> pass through</w:t>
      </w:r>
      <w:r w:rsidR="00460BD6">
        <w:t xml:space="preserve"> fee, no revenue goes to Rio Concho.  It is outside the rate structure (base and gallonage costs).  </w:t>
      </w:r>
    </w:p>
    <w:p w:rsidR="00460BD6" w:rsidRPr="00460BD6" w:rsidRDefault="00460BD6" w:rsidP="00460BD6">
      <w:pPr>
        <w:jc w:val="center"/>
        <w:rPr>
          <w:b/>
          <w:sz w:val="28"/>
          <w:szCs w:val="28"/>
        </w:rPr>
      </w:pPr>
      <w:r w:rsidRPr="00460BD6">
        <w:rPr>
          <w:b/>
          <w:sz w:val="28"/>
          <w:szCs w:val="28"/>
        </w:rPr>
        <w:t>T</w:t>
      </w:r>
      <w:r w:rsidR="005557FB">
        <w:rPr>
          <w:b/>
          <w:sz w:val="28"/>
          <w:szCs w:val="28"/>
        </w:rPr>
        <w:t>HE RATEPAYER’S REQUEST</w:t>
      </w:r>
    </w:p>
    <w:p w:rsidR="00141016" w:rsidRDefault="005C3C08" w:rsidP="00460BD6">
      <w:pPr>
        <w:ind w:firstLine="720"/>
      </w:pPr>
      <w:r>
        <w:t xml:space="preserve">The Ratepayers </w:t>
      </w:r>
      <w:r w:rsidR="00085CC7">
        <w:t>have no objection to Rio Concho’s motion</w:t>
      </w:r>
      <w:r w:rsidR="00BD6936">
        <w:t xml:space="preserve"> if limited to this one item.  We do object if Rio Concho is using this to re-open more than the NTGCD</w:t>
      </w:r>
      <w:bookmarkStart w:id="0" w:name="_GoBack"/>
      <w:bookmarkEnd w:id="0"/>
      <w:r w:rsidR="00BD6936">
        <w:t xml:space="preserve"> item.  However, </w:t>
      </w:r>
      <w:r w:rsidR="000431E8">
        <w:t xml:space="preserve">if the rate structure might change, we </w:t>
      </w:r>
      <w:r w:rsidR="00085CC7">
        <w:t>would like to include a correction to the PUC’s calculations regarding Rio Concho’s Depreciation schedule which was used in the calculations submitted</w:t>
      </w:r>
      <w:r w:rsidR="00460BD6">
        <w:t xml:space="preserve"> by the Staff</w:t>
      </w:r>
      <w:r w:rsidR="00085CC7">
        <w:t xml:space="preserve"> to the Commission judges.  The Ratepayers noted those </w:t>
      </w:r>
      <w:r w:rsidR="007F1CB7">
        <w:t xml:space="preserve">depreciation </w:t>
      </w:r>
      <w:r w:rsidR="00085CC7">
        <w:t>errors several times during this rate case</w:t>
      </w:r>
      <w:r w:rsidR="007F1CB7">
        <w:t xml:space="preserve">.   This is not new information </w:t>
      </w:r>
      <w:r w:rsidR="0025437F">
        <w:t>n</w:t>
      </w:r>
      <w:r w:rsidR="007F1CB7">
        <w:t xml:space="preserve">or evidence as we will explain below.  We have no issues with Rio Concho being compensated correctly to include the NTGCD pass through fees, but would like the correct starting point to be used in those calculations. </w:t>
      </w:r>
    </w:p>
    <w:p w:rsidR="007F1CB7" w:rsidRPr="009426CE" w:rsidRDefault="009426CE" w:rsidP="009426CE">
      <w:pPr>
        <w:jc w:val="center"/>
        <w:rPr>
          <w:b/>
          <w:sz w:val="28"/>
          <w:szCs w:val="28"/>
        </w:rPr>
      </w:pPr>
      <w:r w:rsidRPr="009426CE">
        <w:rPr>
          <w:b/>
          <w:sz w:val="28"/>
          <w:szCs w:val="28"/>
        </w:rPr>
        <w:t>E</w:t>
      </w:r>
      <w:r>
        <w:rPr>
          <w:b/>
          <w:sz w:val="28"/>
          <w:szCs w:val="28"/>
        </w:rPr>
        <w:t>VIDENCE OF DEPRECIATION SCHEDULE ERRORS</w:t>
      </w:r>
    </w:p>
    <w:p w:rsidR="009426CE" w:rsidRDefault="00BB75B9" w:rsidP="000B015E">
      <w:pPr>
        <w:ind w:firstLine="720"/>
      </w:pPr>
      <w:r>
        <w:t>The Ratepayers Initial Brief</w:t>
      </w:r>
      <w:r>
        <w:rPr>
          <w:rStyle w:val="EndnoteReference"/>
        </w:rPr>
        <w:endnoteReference w:id="1"/>
      </w:r>
      <w:r w:rsidR="00460F23">
        <w:rPr>
          <w:rStyle w:val="FootnoteReference"/>
        </w:rPr>
        <w:footnoteReference w:id="1"/>
      </w:r>
      <w:r>
        <w:t xml:space="preserve"> noted four different figures for Rio Concho’s annual depreciation.  Our Initial Brief provided their incorrect depreciation schedule as our attachment 8, and our corrected version of their depreciation schedule as our attachment 9 to our Initial Brief.  Our attachment 11 showed another incorrect figure Rio Concho used in line 2 for their depreciation schedule</w:t>
      </w:r>
      <w:r w:rsidR="000971D5">
        <w:t xml:space="preserve"> as it did not match their other documents</w:t>
      </w:r>
      <w:r>
        <w:t xml:space="preserve">.     </w:t>
      </w:r>
    </w:p>
    <w:p w:rsidR="00BB75B9" w:rsidRDefault="00BB75B9" w:rsidP="000B015E">
      <w:pPr>
        <w:ind w:firstLine="720"/>
      </w:pPr>
      <w:r>
        <w:t>Rio Concho admitted to this error in the Dec 5</w:t>
      </w:r>
      <w:r w:rsidRPr="00BB75B9">
        <w:rPr>
          <w:vertAlign w:val="superscript"/>
        </w:rPr>
        <w:t>th</w:t>
      </w:r>
      <w:r>
        <w:t xml:space="preserve"> </w:t>
      </w:r>
      <w:r w:rsidR="000971D5">
        <w:t xml:space="preserve">hearing </w:t>
      </w:r>
      <w:r w:rsidR="00460F23">
        <w:t>when it was pointed out that on the 5</w:t>
      </w:r>
      <w:r w:rsidR="00460F23" w:rsidRPr="00460F23">
        <w:rPr>
          <w:vertAlign w:val="superscript"/>
        </w:rPr>
        <w:t>th</w:t>
      </w:r>
      <w:r w:rsidR="00460F23">
        <w:t xml:space="preserve"> line up from the bottom of the depreciation schedule Shop Tools (Compressor)</w:t>
      </w:r>
      <w:r w:rsidR="00460F23">
        <w:rPr>
          <w:rStyle w:val="FootnoteReference"/>
        </w:rPr>
        <w:footnoteReference w:id="2"/>
      </w:r>
      <w:r w:rsidR="00460F23">
        <w:t xml:space="preserve"> had an annual </w:t>
      </w:r>
      <w:r w:rsidR="00460BD6">
        <w:t xml:space="preserve">depreciation </w:t>
      </w:r>
      <w:r w:rsidR="00460F23">
        <w:t>figure and accumulated figure ($451.40) that exceeded the original cost ($376.17) of the compressor.   Thus, there were two errors in the Annual Depreciation total and the Accumulated Depreciation total of their schedule.  Further, according to the formula at the top of this page, Original Cost m</w:t>
      </w:r>
      <w:r w:rsidR="00460BD6">
        <w:t>inus Accumulated Depreciation did</w:t>
      </w:r>
      <w:r w:rsidR="00460F23">
        <w:t xml:space="preserve"> not equal Net Book Value</w:t>
      </w:r>
      <w:r w:rsidR="00460BD6">
        <w:t xml:space="preserve"> on their submission</w:t>
      </w:r>
      <w:r w:rsidR="00460F23">
        <w:t>.   The Ratepayers corrected those errors in our Attachment 9.   Rio Concho’s corrected Depreci</w:t>
      </w:r>
      <w:r w:rsidR="000B015E">
        <w:t>ation Schedule should have been $210,545.85 as Original Cost, $10,451.43 as Annual Depreciation,</w:t>
      </w:r>
      <w:r w:rsidR="000971D5">
        <w:t xml:space="preserve"> $124,267.88 as Accumulated Depreciation,</w:t>
      </w:r>
      <w:r w:rsidR="000B015E">
        <w:t xml:space="preserve"> and $86,277.97 as Net Book Value.    These corrections were hand-written by the ALJ’s, the PUC Staff, and the Ratepayers in the Dec 5</w:t>
      </w:r>
      <w:r w:rsidR="000B015E" w:rsidRPr="000B015E">
        <w:rPr>
          <w:vertAlign w:val="superscript"/>
        </w:rPr>
        <w:t>th</w:t>
      </w:r>
      <w:r w:rsidR="000B015E">
        <w:t xml:space="preserve"> hearing and presented in our Initial Brief.</w:t>
      </w:r>
      <w:r w:rsidR="000431E8">
        <w:rPr>
          <w:rStyle w:val="FootnoteReference"/>
        </w:rPr>
        <w:footnoteReference w:id="3"/>
      </w:r>
    </w:p>
    <w:p w:rsidR="00460F23" w:rsidRDefault="000B015E" w:rsidP="000C7118">
      <w:pPr>
        <w:ind w:firstLine="720"/>
      </w:pPr>
      <w:r>
        <w:t xml:space="preserve">Rio Concho’s Initial Brief </w:t>
      </w:r>
      <w:r w:rsidR="005676CB">
        <w:t>referenced their original submission for depreciation even though they knew it was in error as a result of the Dec 5</w:t>
      </w:r>
      <w:r w:rsidR="005676CB" w:rsidRPr="005676CB">
        <w:rPr>
          <w:vertAlign w:val="superscript"/>
        </w:rPr>
        <w:t>th</w:t>
      </w:r>
      <w:r w:rsidR="005676CB">
        <w:t xml:space="preserve"> Hearing.  They reference</w:t>
      </w:r>
      <w:r w:rsidR="000971D5">
        <w:t>d</w:t>
      </w:r>
      <w:r w:rsidR="005676CB">
        <w:t xml:space="preserve"> an annual depreciation figure of $10,526.66</w:t>
      </w:r>
      <w:r w:rsidR="000971D5">
        <w:t xml:space="preserve">, which included their uncorrected error for the compressor. </w:t>
      </w:r>
      <w:r w:rsidR="005676CB">
        <w:t xml:space="preserve">    </w:t>
      </w:r>
    </w:p>
    <w:p w:rsidR="005676CB" w:rsidRDefault="005676CB" w:rsidP="000C7118">
      <w:pPr>
        <w:ind w:firstLine="720"/>
      </w:pPr>
      <w:r>
        <w:lastRenderedPageBreak/>
        <w:t>The Ratepayers Reply Brief again pointed out this error and referenced the corrected $10,451.43 figure.</w:t>
      </w:r>
      <w:r>
        <w:rPr>
          <w:rStyle w:val="FootnoteReference"/>
        </w:rPr>
        <w:footnoteReference w:id="4"/>
      </w:r>
    </w:p>
    <w:p w:rsidR="005676CB" w:rsidRDefault="005676CB" w:rsidP="000C7118">
      <w:pPr>
        <w:ind w:firstLine="720"/>
      </w:pPr>
      <w:r>
        <w:t>At no time during the PUC Hearing on Dec 5</w:t>
      </w:r>
      <w:r w:rsidRPr="005676CB">
        <w:rPr>
          <w:vertAlign w:val="superscript"/>
        </w:rPr>
        <w:t>th</w:t>
      </w:r>
      <w:r>
        <w:t>, nor in the</w:t>
      </w:r>
      <w:r w:rsidR="000431E8">
        <w:t xml:space="preserve"> Ratepayer’s Initial </w:t>
      </w:r>
      <w:r>
        <w:t>Brief, nor</w:t>
      </w:r>
      <w:r w:rsidR="000431E8">
        <w:t xml:space="preserve"> the Ratepayer’s</w:t>
      </w:r>
      <w:r>
        <w:t xml:space="preserve"> Reply Brief, did Rio Concho argue </w:t>
      </w:r>
      <w:r w:rsidR="000971D5">
        <w:t xml:space="preserve">that the Ratepayers were incorrect. </w:t>
      </w:r>
      <w:r>
        <w:t xml:space="preserve">  </w:t>
      </w:r>
    </w:p>
    <w:p w:rsidR="0006316C" w:rsidRDefault="0006316C" w:rsidP="000C7118">
      <w:pPr>
        <w:ind w:firstLine="720"/>
      </w:pPr>
      <w:r>
        <w:t>The Ratepayers Response to Exceptions to PFD</w:t>
      </w:r>
      <w:r w:rsidR="000C7118">
        <w:rPr>
          <w:rStyle w:val="FootnoteReference"/>
        </w:rPr>
        <w:footnoteReference w:id="5"/>
      </w:r>
      <w:r>
        <w:t xml:space="preserve"> </w:t>
      </w:r>
      <w:r w:rsidR="000C7118">
        <w:t xml:space="preserve">again noted four different annual depreciation figures submitted by Rio Concho which obviously confused us, the PUC Staff, and the ALJ’s.  </w:t>
      </w:r>
    </w:p>
    <w:p w:rsidR="005557FB" w:rsidRDefault="000431E8" w:rsidP="005557FB">
      <w:pPr>
        <w:ind w:firstLine="720"/>
        <w:jc w:val="center"/>
        <w:rPr>
          <w:b/>
          <w:sz w:val="28"/>
          <w:szCs w:val="28"/>
        </w:rPr>
      </w:pPr>
      <w:r w:rsidRPr="000431E8">
        <w:rPr>
          <w:b/>
          <w:sz w:val="28"/>
          <w:szCs w:val="28"/>
        </w:rPr>
        <w:t>W</w:t>
      </w:r>
      <w:r w:rsidR="005557FB">
        <w:rPr>
          <w:b/>
          <w:sz w:val="28"/>
          <w:szCs w:val="28"/>
        </w:rPr>
        <w:t>HAT NUMBERS DID THE ALJ’S USE?</w:t>
      </w:r>
    </w:p>
    <w:p w:rsidR="000431E8" w:rsidRDefault="000431E8" w:rsidP="005557FB">
      <w:pPr>
        <w:ind w:firstLine="720"/>
        <w:jc w:val="center"/>
      </w:pPr>
      <w:r>
        <w:t>The ALJ’s Proposal for Decision (PFD) used a Rio Concho original cost figure of $210,581.85.  That figure was $36 higher than the Ratepayer’s figure.  We hunted and finally found the discrepancy.  Rio Concho transposed the cost of land using $5148 in one instance and $5184 in another instance.  Using the higher $5184 figure does validate the PFD figure</w:t>
      </w:r>
      <w:r w:rsidR="000971D5">
        <w:t xml:space="preserve"> for original cost</w:t>
      </w:r>
      <w:r>
        <w:t xml:space="preserve">.  </w:t>
      </w:r>
    </w:p>
    <w:p w:rsidR="00352931" w:rsidRDefault="00352931" w:rsidP="000C7118">
      <w:pPr>
        <w:ind w:firstLine="720"/>
      </w:pPr>
      <w:r>
        <w:t>The Ratepayers are happy to use the higher figure however, Land has no annual depreciation nor accumulated depreciation.  Thus, the annual depreciation and accumulated depreciation remain the same as the Ratepayers established in their attachment 9.  That annual depreciation is $10,451.43.</w:t>
      </w:r>
    </w:p>
    <w:p w:rsidR="00352931" w:rsidRPr="00352931" w:rsidRDefault="00352931" w:rsidP="000C7118">
      <w:pPr>
        <w:ind w:firstLine="720"/>
        <w:rPr>
          <w:b/>
          <w:sz w:val="28"/>
          <w:szCs w:val="28"/>
        </w:rPr>
      </w:pPr>
      <w:r w:rsidRPr="00352931">
        <w:rPr>
          <w:b/>
          <w:sz w:val="28"/>
          <w:szCs w:val="28"/>
        </w:rPr>
        <w:t>W</w:t>
      </w:r>
      <w:r w:rsidR="005557FB">
        <w:rPr>
          <w:b/>
          <w:sz w:val="28"/>
          <w:szCs w:val="28"/>
        </w:rPr>
        <w:t>HAT DID THE ALJ’S PFD STRIKE FROM THE DEPRECIATION SCHEDULE?</w:t>
      </w:r>
    </w:p>
    <w:p w:rsidR="000C7118" w:rsidRDefault="00352931">
      <w:r>
        <w:tab/>
        <w:t>The PFD struck the following items:</w:t>
      </w:r>
    </w:p>
    <w:p w:rsidR="00352931" w:rsidRDefault="00352931">
      <w:r>
        <w:tab/>
        <w:t>Sideboard  $487.07</w:t>
      </w:r>
    </w:p>
    <w:p w:rsidR="00352931" w:rsidRDefault="00352931">
      <w:r>
        <w:tab/>
        <w:t>Lamps  $213.85</w:t>
      </w:r>
    </w:p>
    <w:p w:rsidR="00352931" w:rsidRDefault="00352931">
      <w:r>
        <w:tab/>
        <w:t>Paving  $6011.12</w:t>
      </w:r>
    </w:p>
    <w:p w:rsidR="00352931" w:rsidRDefault="00352931">
      <w:r>
        <w:tab/>
        <w:t>Chairs  $475.20</w:t>
      </w:r>
    </w:p>
    <w:p w:rsidR="00352931" w:rsidRDefault="00352931">
      <w:r>
        <w:tab/>
        <w:t>Television  $677.60</w:t>
      </w:r>
    </w:p>
    <w:p w:rsidR="00352931" w:rsidRDefault="00352931">
      <w:r>
        <w:tab/>
        <w:t>Desk &amp; Chair $335.47</w:t>
      </w:r>
    </w:p>
    <w:p w:rsidR="00352931" w:rsidRDefault="00352931">
      <w:r>
        <w:tab/>
        <w:t>Audi Q5</w:t>
      </w:r>
      <w:r>
        <w:tab/>
        <w:t xml:space="preserve">  $24,600.00</w:t>
      </w:r>
    </w:p>
    <w:p w:rsidR="00E7224E" w:rsidRDefault="00352931">
      <w:r>
        <w:tab/>
        <w:t>T</w:t>
      </w:r>
      <w:r w:rsidR="00E7224E">
        <w:t>his reduction t</w:t>
      </w:r>
      <w:r>
        <w:t>otal</w:t>
      </w:r>
      <w:r w:rsidR="00E7224E">
        <w:t>s</w:t>
      </w:r>
      <w:r>
        <w:t xml:space="preserve"> $32,</w:t>
      </w:r>
      <w:r w:rsidR="00E7224E">
        <w:t>464.84</w:t>
      </w:r>
      <w:r>
        <w:t xml:space="preserve"> from the Original Cost $210,581.85 which equals $178,</w:t>
      </w:r>
      <w:r w:rsidR="00E7224E">
        <w:t>117.01 as found in the PFD.</w:t>
      </w:r>
      <w:r w:rsidR="00771F46">
        <w:rPr>
          <w:rStyle w:val="FootnoteReference"/>
        </w:rPr>
        <w:footnoteReference w:id="6"/>
      </w:r>
      <w:r w:rsidR="00E7224E">
        <w:t xml:space="preserve"> </w:t>
      </w:r>
    </w:p>
    <w:p w:rsidR="00E7224E" w:rsidRDefault="00E7224E">
      <w:r>
        <w:tab/>
        <w:t xml:space="preserve">These same adjustments reduced the annual depreciation by $6375.36 and the Accumulated depreciation by $8505.69. </w:t>
      </w:r>
      <w:r w:rsidR="00771F46">
        <w:t xml:space="preserve"> (The PFD added the $7</w:t>
      </w:r>
      <w:r w:rsidR="005557FB">
        <w:t>5</w:t>
      </w:r>
      <w:r w:rsidR="00771F46">
        <w:t xml:space="preserve"> correction into our figure to arrive at the proper </w:t>
      </w:r>
      <w:r w:rsidR="00781E74">
        <w:t>accumulated total of $115,762.)</w:t>
      </w:r>
      <w:r w:rsidR="00781E74">
        <w:rPr>
          <w:rStyle w:val="FootnoteReference"/>
        </w:rPr>
        <w:footnoteReference w:id="7"/>
      </w:r>
    </w:p>
    <w:p w:rsidR="00781E74" w:rsidRDefault="00E7224E">
      <w:r>
        <w:tab/>
        <w:t xml:space="preserve">Thus, if using the correct annual depreciation figure of $10,451.43 minus $6375.36 reduction, results in an annual depreciation figure of $4076.07.  </w:t>
      </w:r>
      <w:r w:rsidR="00781E74">
        <w:t xml:space="preserve">However, this corrected, reduced figure was not </w:t>
      </w:r>
      <w:r w:rsidR="00781E74">
        <w:lastRenderedPageBreak/>
        <w:t xml:space="preserve">contained within the PFD.  The Ratepayers had no ability to protest/correct an error not specified within the PFD.  Had the PFD contained any figure for annual depreciation other than the correct figure, the Ratepayers would have included that figure in it’s exceptions.   </w:t>
      </w:r>
    </w:p>
    <w:p w:rsidR="00E7224E" w:rsidRDefault="00E7224E">
      <w:r>
        <w:tab/>
        <w:t>The Ratepayers have included at attachment to this document detailing these figures.</w:t>
      </w:r>
    </w:p>
    <w:p w:rsidR="00E7224E" w:rsidRPr="00A2603B" w:rsidRDefault="00A2603B" w:rsidP="00A2603B">
      <w:pPr>
        <w:jc w:val="center"/>
        <w:rPr>
          <w:b/>
          <w:sz w:val="28"/>
          <w:szCs w:val="28"/>
        </w:rPr>
      </w:pPr>
      <w:r w:rsidRPr="00A2603B">
        <w:rPr>
          <w:b/>
          <w:sz w:val="28"/>
          <w:szCs w:val="28"/>
        </w:rPr>
        <w:t>D</w:t>
      </w:r>
      <w:r w:rsidR="00314C39">
        <w:rPr>
          <w:b/>
          <w:sz w:val="28"/>
          <w:szCs w:val="28"/>
        </w:rPr>
        <w:t>ID THE RATEPAYERS INCLUDE THESE CORRECTIONS IN THE EXCEPTIONS TO THE PFD?</w:t>
      </w:r>
    </w:p>
    <w:p w:rsidR="00A2603B" w:rsidRDefault="00A2603B">
      <w:r>
        <w:tab/>
        <w:t xml:space="preserve">The Ratepayers could not correct a figure that the ALJ’s did not calculate.  No where in the PFD can we find </w:t>
      </w:r>
      <w:r w:rsidR="00781E74">
        <w:t xml:space="preserve">any figure specifying the </w:t>
      </w:r>
      <w:r>
        <w:t xml:space="preserve">annual depreciation.  The ALJ’s did not include this figure in the PFD, thus the Ratepayers could not protest nor correct something not contained within </w:t>
      </w:r>
      <w:r w:rsidR="005557FB">
        <w:t xml:space="preserve">it. </w:t>
      </w:r>
      <w:r>
        <w:t xml:space="preserve">  </w:t>
      </w:r>
    </w:p>
    <w:p w:rsidR="000C7118" w:rsidRDefault="000C7118" w:rsidP="00D3626E">
      <w:pPr>
        <w:jc w:val="center"/>
        <w:rPr>
          <w:b/>
          <w:sz w:val="28"/>
          <w:szCs w:val="28"/>
        </w:rPr>
      </w:pPr>
      <w:r w:rsidRPr="000C7118">
        <w:rPr>
          <w:b/>
          <w:sz w:val="28"/>
          <w:szCs w:val="28"/>
        </w:rPr>
        <w:t>C</w:t>
      </w:r>
      <w:r w:rsidR="00D3626E">
        <w:rPr>
          <w:b/>
          <w:sz w:val="28"/>
          <w:szCs w:val="28"/>
        </w:rPr>
        <w:t>OMMISSION NUMBER RUNS-BASED ON MAY 4, 2017 OPEN MEETING DISCUSSION</w:t>
      </w:r>
    </w:p>
    <w:p w:rsidR="000C7118" w:rsidRDefault="000C7118">
      <w:r>
        <w:tab/>
        <w:t xml:space="preserve">Elisabeth English of the Water Utility Regulation Division authored two number runs for the Commission.   In the first run, Ms English </w:t>
      </w:r>
      <w:r w:rsidR="000E5A9D">
        <w:t xml:space="preserve">subtracted the correct annual depreciation reduction of </w:t>
      </w:r>
      <w:r w:rsidR="0015683D">
        <w:t>$6375.36 from the Rio Concho in-</w:t>
      </w:r>
      <w:r w:rsidR="000E5A9D">
        <w:t xml:space="preserve">error figure of $10,526.66 to arrive at a new annual depreciation figure of $4151.00.  Her fallacy was not correcting the spreadsheet for the compressor error of $75.23.  Had she started with the corrected annual depreciation figure of 10,451.43 minus $6375.36, she would have arrived at the proper $4076.07 figure for annual depreciation. </w:t>
      </w:r>
    </w:p>
    <w:p w:rsidR="000E5A9D" w:rsidRDefault="000E5A9D">
      <w:r>
        <w:tab/>
        <w:t>Ms English used the incorrect depreciation figure in her calculations for base and gallonage rates on pages 4,5,6, 10, 11 and 12 of her report</w:t>
      </w:r>
      <w:r w:rsidR="005557FB">
        <w:t>s</w:t>
      </w:r>
      <w:r>
        <w:rPr>
          <w:rStyle w:val="FootnoteReference"/>
        </w:rPr>
        <w:footnoteReference w:id="8"/>
      </w:r>
      <w:r>
        <w:t>.  In the second run, she increases annual deprec</w:t>
      </w:r>
      <w:r w:rsidR="005557FB">
        <w:t>i</w:t>
      </w:r>
      <w:r>
        <w:t>ation</w:t>
      </w:r>
      <w:r w:rsidR="00CD6A94">
        <w:t xml:space="preserve"> to $5</w:t>
      </w:r>
      <w:r>
        <w:t xml:space="preserve">197 on page 12, which we don’t understand.   However, since </w:t>
      </w:r>
      <w:r w:rsidR="00CD6A94">
        <w:t xml:space="preserve">the first number run </w:t>
      </w:r>
      <w:r>
        <w:t xml:space="preserve">was </w:t>
      </w:r>
      <w:r w:rsidR="00CD6A94">
        <w:t xml:space="preserve">implemented by the Commission </w:t>
      </w:r>
      <w:r>
        <w:t xml:space="preserve">and not </w:t>
      </w:r>
      <w:r w:rsidR="00CD6A94">
        <w:t>the second number run</w:t>
      </w:r>
      <w:r>
        <w:t xml:space="preserve">, we find that immaterial here.   </w:t>
      </w:r>
    </w:p>
    <w:p w:rsidR="00D3626E" w:rsidRDefault="00CD6A94">
      <w:pPr>
        <w:rPr>
          <w:b/>
          <w:sz w:val="28"/>
          <w:szCs w:val="28"/>
        </w:rPr>
      </w:pPr>
      <w:r>
        <w:tab/>
      </w:r>
      <w:r w:rsidRPr="00CD6A94">
        <w:rPr>
          <w:b/>
          <w:sz w:val="28"/>
          <w:szCs w:val="28"/>
        </w:rPr>
        <w:t>D</w:t>
      </w:r>
      <w:r w:rsidR="00D3626E">
        <w:rPr>
          <w:b/>
          <w:sz w:val="28"/>
          <w:szCs w:val="28"/>
        </w:rPr>
        <w:t>ID THE RATEPAYERS ATTEMPT TO NOTIFY THE STAFF OF THE INCORRECT ANNUAL DEPRECIATION FIGURE IN THE TWO NUMBER RUNS?</w:t>
      </w:r>
    </w:p>
    <w:p w:rsidR="008C2342" w:rsidRDefault="00CD6A94">
      <w:r>
        <w:tab/>
        <w:t xml:space="preserve">Yes.  The Ratepayers sent an email </w:t>
      </w:r>
      <w:r w:rsidR="00E4734F">
        <w:t xml:space="preserve">to the PUC Staff attorney </w:t>
      </w:r>
      <w:r>
        <w:t xml:space="preserve">on </w:t>
      </w:r>
      <w:r w:rsidR="00E4734F">
        <w:t xml:space="preserve">May 15, 2017 and followed it up with </w:t>
      </w:r>
      <w:r w:rsidR="00D3626E">
        <w:t>a</w:t>
      </w:r>
      <w:r w:rsidR="00E4734F">
        <w:t xml:space="preserve"> phone call.  The Ratepayers were told that any contact with Ms English or Ms Loockerman would be considered ex parte communication.  We were also advised that we should have protested the error in the PFD, however, as explained previously, this figure was not contained within the PFD.  </w:t>
      </w:r>
      <w:r w:rsidR="00D3626E">
        <w:t>The Ratepayers</w:t>
      </w:r>
      <w:r w:rsidR="008C2342">
        <w:t xml:space="preserve"> did not wish to make an</w:t>
      </w:r>
      <w:r w:rsidR="005557FB">
        <w:t>y</w:t>
      </w:r>
      <w:r w:rsidR="008C2342">
        <w:t xml:space="preserve"> error</w:t>
      </w:r>
      <w:r w:rsidR="005557FB">
        <w:t>s with the Commission a</w:t>
      </w:r>
      <w:r w:rsidR="008C2342">
        <w:t xml:space="preserve">nd did not communicate this error any further.  </w:t>
      </w:r>
    </w:p>
    <w:p w:rsidR="008C2342" w:rsidRPr="008C2342" w:rsidRDefault="008C2342" w:rsidP="008C2342">
      <w:pPr>
        <w:jc w:val="center"/>
        <w:rPr>
          <w:b/>
          <w:sz w:val="28"/>
          <w:szCs w:val="28"/>
          <w:u w:val="single"/>
        </w:rPr>
      </w:pPr>
      <w:r w:rsidRPr="008C2342">
        <w:rPr>
          <w:b/>
          <w:sz w:val="28"/>
          <w:szCs w:val="28"/>
          <w:u w:val="single"/>
        </w:rPr>
        <w:t>W</w:t>
      </w:r>
      <w:r w:rsidR="00D3626E">
        <w:rPr>
          <w:b/>
          <w:sz w:val="28"/>
          <w:szCs w:val="28"/>
          <w:u w:val="single"/>
        </w:rPr>
        <w:t>HAT DO THE RATEPAYERS WANT</w:t>
      </w:r>
      <w:r w:rsidRPr="008C2342">
        <w:rPr>
          <w:b/>
          <w:sz w:val="28"/>
          <w:szCs w:val="28"/>
          <w:u w:val="single"/>
        </w:rPr>
        <w:t>?</w:t>
      </w:r>
    </w:p>
    <w:p w:rsidR="00CD6A94" w:rsidRDefault="00E4734F">
      <w:r>
        <w:t xml:space="preserve"> </w:t>
      </w:r>
      <w:r w:rsidR="008C2342">
        <w:tab/>
        <w:t xml:space="preserve">The Ratepayers were willing to accept the error in the Annual Depreciation in the Commissions First Number Run as we had no avenue to make a correction in May.  Annual Depreciation is used to set base and gallonage rates in Ms English’s report.   However, since Rio Concho is now attempting to adjust </w:t>
      </w:r>
      <w:r w:rsidR="008C2342">
        <w:lastRenderedPageBreak/>
        <w:t xml:space="preserve">the Rate schedule, the Ratepayers feel that any adjustment to the base and gallonage rates must utilize the correct annual depreciation figures and not the incorrect figure used in the first number run.   </w:t>
      </w:r>
    </w:p>
    <w:p w:rsidR="008C2342" w:rsidRDefault="008C2342"/>
    <w:p w:rsidR="008C2342" w:rsidRDefault="008C2342" w:rsidP="008C2342">
      <w:pPr>
        <w:jc w:val="center"/>
        <w:rPr>
          <w:b/>
          <w:sz w:val="28"/>
          <w:szCs w:val="28"/>
        </w:rPr>
      </w:pPr>
      <w:r w:rsidRPr="008C2342">
        <w:rPr>
          <w:b/>
          <w:sz w:val="28"/>
          <w:szCs w:val="28"/>
        </w:rPr>
        <w:t>C</w:t>
      </w:r>
      <w:r w:rsidR="00D3626E">
        <w:rPr>
          <w:b/>
          <w:sz w:val="28"/>
          <w:szCs w:val="28"/>
        </w:rPr>
        <w:t>ONCLUSION</w:t>
      </w:r>
    </w:p>
    <w:p w:rsidR="005557FB" w:rsidRDefault="005557FB" w:rsidP="005557FB">
      <w:pPr>
        <w:ind w:firstLine="720"/>
      </w:pPr>
      <w:r>
        <w:tab/>
        <w:t>The ALJ’s Proposal for Decision contained no reference to Rio Concho’s annual depreciation figures, thus the Ratepayers could not correct the PFD for something not contained therein.</w:t>
      </w:r>
    </w:p>
    <w:p w:rsidR="008C2342" w:rsidRDefault="008C2342">
      <w:r>
        <w:tab/>
        <w:t>Please verify the annual depreciation figure of $4076.07 and re-run the first number run using the correct figure on page</w:t>
      </w:r>
      <w:r w:rsidR="005557FB">
        <w:t>s</w:t>
      </w:r>
      <w:r>
        <w:t xml:space="preserve"> 4, 5, and 6 of the First number run report.</w:t>
      </w:r>
    </w:p>
    <w:p w:rsidR="008C2342" w:rsidRPr="000C7118" w:rsidRDefault="008C2342"/>
    <w:p w:rsidR="00460F23" w:rsidRDefault="00460F23"/>
    <w:p w:rsidR="00460F23" w:rsidRDefault="00460F23"/>
    <w:p w:rsidR="00460F23" w:rsidRDefault="00460F23"/>
    <w:p w:rsidR="00460F23" w:rsidRDefault="00460F23"/>
    <w:p w:rsidR="00460F23" w:rsidRDefault="00460F23"/>
    <w:p w:rsidR="00460F23" w:rsidRDefault="00460F23"/>
    <w:p w:rsidR="0015683D" w:rsidRDefault="0015683D"/>
    <w:p w:rsidR="0015683D" w:rsidRDefault="0015683D"/>
    <w:p w:rsidR="0015683D" w:rsidRDefault="0015683D"/>
    <w:p w:rsidR="0015683D" w:rsidRDefault="0015683D"/>
    <w:p w:rsidR="0015683D" w:rsidRDefault="0015683D"/>
    <w:p w:rsidR="0015683D" w:rsidRDefault="0015683D"/>
    <w:p w:rsidR="0015683D" w:rsidRDefault="0015683D"/>
    <w:p w:rsidR="0015683D" w:rsidRDefault="0015683D"/>
    <w:p w:rsidR="0015683D" w:rsidRDefault="0015683D"/>
    <w:p w:rsidR="0015683D" w:rsidRDefault="0015683D"/>
    <w:p w:rsidR="0015683D" w:rsidRDefault="0015683D"/>
    <w:p w:rsidR="0015683D" w:rsidRDefault="0015683D"/>
    <w:sectPr w:rsidR="0015683D" w:rsidSect="00141016">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7BCC" w:rsidRDefault="00DC7BCC" w:rsidP="003218C8">
      <w:pPr>
        <w:spacing w:after="0" w:line="240" w:lineRule="auto"/>
      </w:pPr>
      <w:r>
        <w:separator/>
      </w:r>
    </w:p>
  </w:endnote>
  <w:endnote w:type="continuationSeparator" w:id="0">
    <w:p w:rsidR="00DC7BCC" w:rsidRDefault="00DC7BCC" w:rsidP="003218C8">
      <w:pPr>
        <w:spacing w:after="0" w:line="240" w:lineRule="auto"/>
      </w:pPr>
      <w:r>
        <w:continuationSeparator/>
      </w:r>
    </w:p>
  </w:endnote>
  <w:endnote w:id="1">
    <w:p w:rsidR="008C2342" w:rsidRPr="005676CB" w:rsidRDefault="008C2342" w:rsidP="005676CB">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1191751"/>
      <w:docPartObj>
        <w:docPartGallery w:val="Page Numbers (Bottom of Page)"/>
        <w:docPartUnique/>
      </w:docPartObj>
    </w:sdtPr>
    <w:sdtEndPr/>
    <w:sdtContent>
      <w:sdt>
        <w:sdtPr>
          <w:id w:val="-1769616900"/>
          <w:docPartObj>
            <w:docPartGallery w:val="Page Numbers (Top of Page)"/>
            <w:docPartUnique/>
          </w:docPartObj>
        </w:sdtPr>
        <w:sdtEndPr/>
        <w:sdtContent>
          <w:p w:rsidR="008C2342" w:rsidRDefault="008C2342">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BD6936">
              <w:rPr>
                <w:b/>
                <w:bCs/>
                <w:noProof/>
              </w:rPr>
              <w:t>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BD6936">
              <w:rPr>
                <w:b/>
                <w:bCs/>
                <w:noProof/>
              </w:rPr>
              <w:t>5</w:t>
            </w:r>
            <w:r>
              <w:rPr>
                <w:b/>
                <w:bCs/>
                <w:sz w:val="24"/>
                <w:szCs w:val="24"/>
              </w:rPr>
              <w:fldChar w:fldCharType="end"/>
            </w:r>
          </w:p>
        </w:sdtContent>
      </w:sdt>
    </w:sdtContent>
  </w:sdt>
  <w:p w:rsidR="008C2342" w:rsidRDefault="008C23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7BCC" w:rsidRDefault="00DC7BCC" w:rsidP="003218C8">
      <w:pPr>
        <w:spacing w:after="0" w:line="240" w:lineRule="auto"/>
      </w:pPr>
      <w:r>
        <w:separator/>
      </w:r>
    </w:p>
  </w:footnote>
  <w:footnote w:type="continuationSeparator" w:id="0">
    <w:p w:rsidR="00DC7BCC" w:rsidRDefault="00DC7BCC" w:rsidP="003218C8">
      <w:pPr>
        <w:spacing w:after="0" w:line="240" w:lineRule="auto"/>
      </w:pPr>
      <w:r>
        <w:continuationSeparator/>
      </w:r>
    </w:p>
  </w:footnote>
  <w:footnote w:id="1">
    <w:p w:rsidR="008C2342" w:rsidRDefault="008C2342">
      <w:pPr>
        <w:pStyle w:val="FootnoteText"/>
      </w:pPr>
      <w:r>
        <w:rPr>
          <w:rStyle w:val="FootnoteReference"/>
        </w:rPr>
        <w:footnoteRef/>
      </w:r>
      <w:r>
        <w:t xml:space="preserve"> Ratepayer’s Initial Brief p 12 lines 4-29,  Attachments 8, 9, 11</w:t>
      </w:r>
    </w:p>
  </w:footnote>
  <w:footnote w:id="2">
    <w:p w:rsidR="008C2342" w:rsidRDefault="008C2342">
      <w:pPr>
        <w:pStyle w:val="FootnoteText"/>
      </w:pPr>
      <w:r>
        <w:rPr>
          <w:rStyle w:val="FootnoteReference"/>
        </w:rPr>
        <w:footnoteRef/>
      </w:r>
      <w:r>
        <w:t xml:space="preserve"> Dec 5 PUC Hearing,  testimony of Randy Munson</w:t>
      </w:r>
    </w:p>
  </w:footnote>
  <w:footnote w:id="3">
    <w:p w:rsidR="008C2342" w:rsidRDefault="008C2342">
      <w:pPr>
        <w:pStyle w:val="FootnoteText"/>
      </w:pPr>
      <w:r>
        <w:rPr>
          <w:rStyle w:val="FootnoteReference"/>
        </w:rPr>
        <w:footnoteRef/>
      </w:r>
      <w:r>
        <w:t xml:space="preserve"> Ratepayer’s Initial Brief  attachment 9</w:t>
      </w:r>
    </w:p>
  </w:footnote>
  <w:footnote w:id="4">
    <w:p w:rsidR="008C2342" w:rsidRDefault="008C2342">
      <w:pPr>
        <w:pStyle w:val="FootnoteText"/>
      </w:pPr>
      <w:r>
        <w:rPr>
          <w:rStyle w:val="FootnoteReference"/>
        </w:rPr>
        <w:footnoteRef/>
      </w:r>
      <w:r>
        <w:t xml:space="preserve"> Ratepayer’s Reply Brief p 11 </w:t>
      </w:r>
    </w:p>
  </w:footnote>
  <w:footnote w:id="5">
    <w:p w:rsidR="008C2342" w:rsidRDefault="008C2342">
      <w:pPr>
        <w:pStyle w:val="FootnoteText"/>
      </w:pPr>
      <w:r>
        <w:rPr>
          <w:rStyle w:val="FootnoteReference"/>
        </w:rPr>
        <w:footnoteRef/>
      </w:r>
      <w:r>
        <w:t xml:space="preserve"> Ratepayer’s Response to Exceptions to PFD, p 9, 12 </w:t>
      </w:r>
    </w:p>
  </w:footnote>
  <w:footnote w:id="6">
    <w:p w:rsidR="008C2342" w:rsidRDefault="008C2342">
      <w:pPr>
        <w:pStyle w:val="FootnoteText"/>
      </w:pPr>
      <w:r>
        <w:rPr>
          <w:rStyle w:val="FootnoteReference"/>
        </w:rPr>
        <w:footnoteRef/>
      </w:r>
      <w:r>
        <w:t xml:space="preserve"> Proposal for Decision p 53</w:t>
      </w:r>
    </w:p>
  </w:footnote>
  <w:footnote w:id="7">
    <w:p w:rsidR="008C2342" w:rsidRDefault="008C2342">
      <w:pPr>
        <w:pStyle w:val="FootnoteText"/>
      </w:pPr>
      <w:r>
        <w:rPr>
          <w:rStyle w:val="FootnoteReference"/>
        </w:rPr>
        <w:footnoteRef/>
      </w:r>
      <w:r>
        <w:t xml:space="preserve"> Proposal for Decision p 54</w:t>
      </w:r>
    </w:p>
  </w:footnote>
  <w:footnote w:id="8">
    <w:p w:rsidR="008C2342" w:rsidRDefault="008C2342">
      <w:pPr>
        <w:pStyle w:val="FootnoteText"/>
      </w:pPr>
      <w:r>
        <w:rPr>
          <w:rStyle w:val="FootnoteReference"/>
        </w:rPr>
        <w:footnoteRef/>
      </w:r>
      <w:r>
        <w:t xml:space="preserve"> Memorandum, First Number Run p 4,5,6   Second Number Run p 10,11,12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5080E"/>
    <w:multiLevelType w:val="hybridMultilevel"/>
    <w:tmpl w:val="8CF664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EC5A91"/>
    <w:multiLevelType w:val="hybridMultilevel"/>
    <w:tmpl w:val="145A227C"/>
    <w:lvl w:ilvl="0" w:tplc="669CEC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2A11385"/>
    <w:multiLevelType w:val="hybridMultilevel"/>
    <w:tmpl w:val="5FFCD5AA"/>
    <w:lvl w:ilvl="0" w:tplc="752A66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E49"/>
    <w:rsid w:val="00022DCC"/>
    <w:rsid w:val="000266D9"/>
    <w:rsid w:val="000431E8"/>
    <w:rsid w:val="0006316C"/>
    <w:rsid w:val="00066460"/>
    <w:rsid w:val="00085CC7"/>
    <w:rsid w:val="000971D5"/>
    <w:rsid w:val="000B015E"/>
    <w:rsid w:val="000C7118"/>
    <w:rsid w:val="000E5A9D"/>
    <w:rsid w:val="000E7D6C"/>
    <w:rsid w:val="001125EA"/>
    <w:rsid w:val="001203DA"/>
    <w:rsid w:val="00141016"/>
    <w:rsid w:val="0015683D"/>
    <w:rsid w:val="00177975"/>
    <w:rsid w:val="001B2F92"/>
    <w:rsid w:val="001C10B3"/>
    <w:rsid w:val="001C66EE"/>
    <w:rsid w:val="001D5B92"/>
    <w:rsid w:val="001E06AA"/>
    <w:rsid w:val="002138E2"/>
    <w:rsid w:val="00223407"/>
    <w:rsid w:val="0025437F"/>
    <w:rsid w:val="00263B11"/>
    <w:rsid w:val="0027794D"/>
    <w:rsid w:val="002A79AE"/>
    <w:rsid w:val="002C548C"/>
    <w:rsid w:val="002F54FF"/>
    <w:rsid w:val="003120C6"/>
    <w:rsid w:val="00314C39"/>
    <w:rsid w:val="003218C8"/>
    <w:rsid w:val="00352931"/>
    <w:rsid w:val="00393DBD"/>
    <w:rsid w:val="00460BD6"/>
    <w:rsid w:val="00460F23"/>
    <w:rsid w:val="004775B4"/>
    <w:rsid w:val="00507316"/>
    <w:rsid w:val="00517B07"/>
    <w:rsid w:val="0053569D"/>
    <w:rsid w:val="00544B18"/>
    <w:rsid w:val="005557FB"/>
    <w:rsid w:val="005676CB"/>
    <w:rsid w:val="005811D7"/>
    <w:rsid w:val="0059213F"/>
    <w:rsid w:val="005A672F"/>
    <w:rsid w:val="005C3C08"/>
    <w:rsid w:val="005E04E5"/>
    <w:rsid w:val="005E0D96"/>
    <w:rsid w:val="0065513E"/>
    <w:rsid w:val="006C3235"/>
    <w:rsid w:val="006D6E3A"/>
    <w:rsid w:val="006E31AC"/>
    <w:rsid w:val="00707ECD"/>
    <w:rsid w:val="00750ABC"/>
    <w:rsid w:val="00771F46"/>
    <w:rsid w:val="00781E74"/>
    <w:rsid w:val="00790A89"/>
    <w:rsid w:val="00791601"/>
    <w:rsid w:val="007A0CF7"/>
    <w:rsid w:val="007D7AC3"/>
    <w:rsid w:val="007D7CE4"/>
    <w:rsid w:val="007F1CB7"/>
    <w:rsid w:val="00814CBD"/>
    <w:rsid w:val="008257EC"/>
    <w:rsid w:val="00853282"/>
    <w:rsid w:val="00870C78"/>
    <w:rsid w:val="008C2342"/>
    <w:rsid w:val="0093270F"/>
    <w:rsid w:val="00941187"/>
    <w:rsid w:val="009426CE"/>
    <w:rsid w:val="009536DA"/>
    <w:rsid w:val="00954710"/>
    <w:rsid w:val="00963C95"/>
    <w:rsid w:val="00980857"/>
    <w:rsid w:val="009A7E07"/>
    <w:rsid w:val="00A2103B"/>
    <w:rsid w:val="00A2603B"/>
    <w:rsid w:val="00A3748E"/>
    <w:rsid w:val="00A47B80"/>
    <w:rsid w:val="00A60587"/>
    <w:rsid w:val="00B2209E"/>
    <w:rsid w:val="00BB75B9"/>
    <w:rsid w:val="00BD6936"/>
    <w:rsid w:val="00BE1B3B"/>
    <w:rsid w:val="00BF3F26"/>
    <w:rsid w:val="00C22176"/>
    <w:rsid w:val="00C31168"/>
    <w:rsid w:val="00C55B66"/>
    <w:rsid w:val="00C64BEA"/>
    <w:rsid w:val="00C802FF"/>
    <w:rsid w:val="00CD3D0A"/>
    <w:rsid w:val="00CD6A94"/>
    <w:rsid w:val="00CE6298"/>
    <w:rsid w:val="00D05566"/>
    <w:rsid w:val="00D27FC5"/>
    <w:rsid w:val="00D3376B"/>
    <w:rsid w:val="00D3626E"/>
    <w:rsid w:val="00D61635"/>
    <w:rsid w:val="00D71E49"/>
    <w:rsid w:val="00D75624"/>
    <w:rsid w:val="00D82781"/>
    <w:rsid w:val="00DB65AC"/>
    <w:rsid w:val="00DC3733"/>
    <w:rsid w:val="00DC7BCC"/>
    <w:rsid w:val="00E4734F"/>
    <w:rsid w:val="00E60FE3"/>
    <w:rsid w:val="00E7224E"/>
    <w:rsid w:val="00E77BC8"/>
    <w:rsid w:val="00E83CDE"/>
    <w:rsid w:val="00EB433B"/>
    <w:rsid w:val="00F20B82"/>
    <w:rsid w:val="00F608D7"/>
    <w:rsid w:val="00F60E79"/>
    <w:rsid w:val="00F702E1"/>
    <w:rsid w:val="00F95632"/>
    <w:rsid w:val="00FF60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69C04"/>
  <w15:chartTrackingRefBased/>
  <w15:docId w15:val="{DD84667F-6EEC-4E10-B352-E9BA9A499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77975"/>
    <w:pPr>
      <w:spacing w:after="0" w:line="240" w:lineRule="auto"/>
    </w:pPr>
    <w:rPr>
      <w:rFonts w:ascii="Calibri" w:eastAsia="Calibri" w:hAnsi="Calibri" w:cs="Times New Roman"/>
    </w:rPr>
  </w:style>
  <w:style w:type="paragraph" w:styleId="FootnoteText">
    <w:name w:val="footnote text"/>
    <w:basedOn w:val="Normal"/>
    <w:link w:val="FootnoteTextChar"/>
    <w:uiPriority w:val="99"/>
    <w:semiHidden/>
    <w:unhideWhenUsed/>
    <w:rsid w:val="003218C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218C8"/>
    <w:rPr>
      <w:sz w:val="20"/>
      <w:szCs w:val="20"/>
    </w:rPr>
  </w:style>
  <w:style w:type="character" w:styleId="FootnoteReference">
    <w:name w:val="footnote reference"/>
    <w:basedOn w:val="DefaultParagraphFont"/>
    <w:uiPriority w:val="99"/>
    <w:semiHidden/>
    <w:unhideWhenUsed/>
    <w:rsid w:val="003218C8"/>
    <w:rPr>
      <w:vertAlign w:val="superscript"/>
    </w:rPr>
  </w:style>
  <w:style w:type="paragraph" w:styleId="BalloonText">
    <w:name w:val="Balloon Text"/>
    <w:basedOn w:val="Normal"/>
    <w:link w:val="BalloonTextChar"/>
    <w:uiPriority w:val="99"/>
    <w:semiHidden/>
    <w:unhideWhenUsed/>
    <w:rsid w:val="00F60E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0E79"/>
    <w:rPr>
      <w:rFonts w:ascii="Segoe UI" w:hAnsi="Segoe UI" w:cs="Segoe UI"/>
      <w:sz w:val="18"/>
      <w:szCs w:val="18"/>
    </w:rPr>
  </w:style>
  <w:style w:type="paragraph" w:styleId="ListParagraph">
    <w:name w:val="List Paragraph"/>
    <w:basedOn w:val="Normal"/>
    <w:uiPriority w:val="34"/>
    <w:qFormat/>
    <w:rsid w:val="000E7D6C"/>
    <w:pPr>
      <w:ind w:left="720"/>
      <w:contextualSpacing/>
    </w:pPr>
  </w:style>
  <w:style w:type="paragraph" w:styleId="Header">
    <w:name w:val="header"/>
    <w:basedOn w:val="Normal"/>
    <w:link w:val="HeaderChar"/>
    <w:uiPriority w:val="99"/>
    <w:unhideWhenUsed/>
    <w:rsid w:val="00D337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376B"/>
  </w:style>
  <w:style w:type="paragraph" w:styleId="Footer">
    <w:name w:val="footer"/>
    <w:basedOn w:val="Normal"/>
    <w:link w:val="FooterChar"/>
    <w:uiPriority w:val="99"/>
    <w:unhideWhenUsed/>
    <w:rsid w:val="00D337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376B"/>
  </w:style>
  <w:style w:type="paragraph" w:styleId="EndnoteText">
    <w:name w:val="endnote text"/>
    <w:basedOn w:val="Normal"/>
    <w:link w:val="EndnoteTextChar"/>
    <w:uiPriority w:val="99"/>
    <w:semiHidden/>
    <w:unhideWhenUsed/>
    <w:rsid w:val="00BB75B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B75B9"/>
    <w:rPr>
      <w:sz w:val="20"/>
      <w:szCs w:val="20"/>
    </w:rPr>
  </w:style>
  <w:style w:type="character" w:styleId="EndnoteReference">
    <w:name w:val="endnote reference"/>
    <w:basedOn w:val="DefaultParagraphFont"/>
    <w:uiPriority w:val="99"/>
    <w:semiHidden/>
    <w:unhideWhenUsed/>
    <w:rsid w:val="00BB75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33926">
      <w:bodyDiv w:val="1"/>
      <w:marLeft w:val="0"/>
      <w:marRight w:val="0"/>
      <w:marTop w:val="0"/>
      <w:marBottom w:val="0"/>
      <w:divBdr>
        <w:top w:val="none" w:sz="0" w:space="0" w:color="auto"/>
        <w:left w:val="none" w:sz="0" w:space="0" w:color="auto"/>
        <w:bottom w:val="none" w:sz="0" w:space="0" w:color="auto"/>
        <w:right w:val="none" w:sz="0" w:space="0" w:color="auto"/>
      </w:divBdr>
    </w:div>
    <w:div w:id="727144659">
      <w:bodyDiv w:val="1"/>
      <w:marLeft w:val="0"/>
      <w:marRight w:val="0"/>
      <w:marTop w:val="0"/>
      <w:marBottom w:val="0"/>
      <w:divBdr>
        <w:top w:val="none" w:sz="0" w:space="0" w:color="auto"/>
        <w:left w:val="none" w:sz="0" w:space="0" w:color="auto"/>
        <w:bottom w:val="none" w:sz="0" w:space="0" w:color="auto"/>
        <w:right w:val="none" w:sz="0" w:space="0" w:color="auto"/>
      </w:divBdr>
    </w:div>
    <w:div w:id="985939849">
      <w:bodyDiv w:val="1"/>
      <w:marLeft w:val="0"/>
      <w:marRight w:val="0"/>
      <w:marTop w:val="0"/>
      <w:marBottom w:val="0"/>
      <w:divBdr>
        <w:top w:val="none" w:sz="0" w:space="0" w:color="auto"/>
        <w:left w:val="none" w:sz="0" w:space="0" w:color="auto"/>
        <w:bottom w:val="none" w:sz="0" w:space="0" w:color="auto"/>
        <w:right w:val="none" w:sz="0" w:space="0" w:color="auto"/>
      </w:divBdr>
    </w:div>
    <w:div w:id="1031879883">
      <w:bodyDiv w:val="1"/>
      <w:marLeft w:val="0"/>
      <w:marRight w:val="0"/>
      <w:marTop w:val="0"/>
      <w:marBottom w:val="0"/>
      <w:divBdr>
        <w:top w:val="none" w:sz="0" w:space="0" w:color="auto"/>
        <w:left w:val="none" w:sz="0" w:space="0" w:color="auto"/>
        <w:bottom w:val="none" w:sz="0" w:space="0" w:color="auto"/>
        <w:right w:val="none" w:sz="0" w:space="0" w:color="auto"/>
      </w:divBdr>
    </w:div>
    <w:div w:id="1115516252">
      <w:bodyDiv w:val="1"/>
      <w:marLeft w:val="0"/>
      <w:marRight w:val="0"/>
      <w:marTop w:val="0"/>
      <w:marBottom w:val="0"/>
      <w:divBdr>
        <w:top w:val="none" w:sz="0" w:space="0" w:color="auto"/>
        <w:left w:val="none" w:sz="0" w:space="0" w:color="auto"/>
        <w:bottom w:val="none" w:sz="0" w:space="0" w:color="auto"/>
        <w:right w:val="none" w:sz="0" w:space="0" w:color="auto"/>
      </w:divBdr>
    </w:div>
    <w:div w:id="1398364040">
      <w:bodyDiv w:val="1"/>
      <w:marLeft w:val="0"/>
      <w:marRight w:val="0"/>
      <w:marTop w:val="0"/>
      <w:marBottom w:val="0"/>
      <w:divBdr>
        <w:top w:val="none" w:sz="0" w:space="0" w:color="auto"/>
        <w:left w:val="none" w:sz="0" w:space="0" w:color="auto"/>
        <w:bottom w:val="none" w:sz="0" w:space="0" w:color="auto"/>
        <w:right w:val="none" w:sz="0" w:space="0" w:color="auto"/>
      </w:divBdr>
    </w:div>
    <w:div w:id="1469199207">
      <w:bodyDiv w:val="1"/>
      <w:marLeft w:val="0"/>
      <w:marRight w:val="0"/>
      <w:marTop w:val="0"/>
      <w:marBottom w:val="0"/>
      <w:divBdr>
        <w:top w:val="none" w:sz="0" w:space="0" w:color="auto"/>
        <w:left w:val="none" w:sz="0" w:space="0" w:color="auto"/>
        <w:bottom w:val="none" w:sz="0" w:space="0" w:color="auto"/>
        <w:right w:val="none" w:sz="0" w:space="0" w:color="auto"/>
      </w:divBdr>
    </w:div>
    <w:div w:id="1474520350">
      <w:bodyDiv w:val="1"/>
      <w:marLeft w:val="0"/>
      <w:marRight w:val="0"/>
      <w:marTop w:val="0"/>
      <w:marBottom w:val="0"/>
      <w:divBdr>
        <w:top w:val="none" w:sz="0" w:space="0" w:color="auto"/>
        <w:left w:val="none" w:sz="0" w:space="0" w:color="auto"/>
        <w:bottom w:val="none" w:sz="0" w:space="0" w:color="auto"/>
        <w:right w:val="none" w:sz="0" w:space="0" w:color="auto"/>
      </w:divBdr>
    </w:div>
    <w:div w:id="1699314949">
      <w:bodyDiv w:val="1"/>
      <w:marLeft w:val="0"/>
      <w:marRight w:val="0"/>
      <w:marTop w:val="0"/>
      <w:marBottom w:val="0"/>
      <w:divBdr>
        <w:top w:val="none" w:sz="0" w:space="0" w:color="auto"/>
        <w:left w:val="none" w:sz="0" w:space="0" w:color="auto"/>
        <w:bottom w:val="none" w:sz="0" w:space="0" w:color="auto"/>
        <w:right w:val="none" w:sz="0" w:space="0" w:color="auto"/>
      </w:divBdr>
    </w:div>
    <w:div w:id="208479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2E41A-022E-4958-80F4-984DD9C2D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5</Pages>
  <Words>1470</Words>
  <Characters>8380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JS</dc:creator>
  <cp:keywords/>
  <dc:description/>
  <cp:lastModifiedBy>JS</cp:lastModifiedBy>
  <cp:revision>11</cp:revision>
  <cp:lastPrinted>2017-06-21T03:30:00Z</cp:lastPrinted>
  <dcterms:created xsi:type="dcterms:W3CDTF">2017-06-18T12:55:00Z</dcterms:created>
  <dcterms:modified xsi:type="dcterms:W3CDTF">2017-06-21T13:58:00Z</dcterms:modified>
</cp:coreProperties>
</file>